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Rule="auto"/>
        <w:rPr>
          <w:color w:val="222222"/>
        </w:rPr>
      </w:pPr>
      <w:r w:rsidDel="00000000" w:rsidR="00000000" w:rsidRPr="00000000">
        <w:rPr>
          <w:color w:val="222222"/>
          <w:rtl w:val="0"/>
        </w:rPr>
        <w:t xml:space="preserve">Hi again</w:t>
      </w:r>
    </w:p>
    <w:p w:rsidR="00000000" w:rsidDel="00000000" w:rsidP="00000000" w:rsidRDefault="00000000" w:rsidRPr="00000000" w14:paraId="00000002">
      <w:pPr>
        <w:shd w:fill="ffffff" w:val="clear"/>
        <w:spacing w:after="200" w:before="200" w:lineRule="auto"/>
        <w:rPr>
          <w:color w:val="222222"/>
        </w:rPr>
      </w:pPr>
      <w:r w:rsidDel="00000000" w:rsidR="00000000" w:rsidRPr="00000000">
        <w:rPr>
          <w:color w:val="222222"/>
          <w:rtl w:val="0"/>
        </w:rPr>
        <w:t xml:space="preserve">After emailing you yesterday, a couple of replies asked me if we had a sample letter for MPs that you can borrow and adapt. It's always recommended that you don't copy and paste letters to MPs, so I strongly advise that you amend what's below to fit your own expertise and experience, but if you're short of time or inspiration you can probably borrow the main paragraphs below without anyone noticing! In particular, please note there's a link to download a briefing note to Parliamentarians below, if nothing else you might want to borrow that bit.</w:t>
      </w:r>
    </w:p>
    <w:p w:rsidR="00000000" w:rsidDel="00000000" w:rsidP="00000000" w:rsidRDefault="00000000" w:rsidRPr="00000000" w14:paraId="00000003">
      <w:pPr>
        <w:shd w:fill="ffffff" w:val="clear"/>
        <w:spacing w:after="200" w:before="200" w:lineRule="auto"/>
        <w:rPr>
          <w:color w:val="222222"/>
        </w:rPr>
      </w:pPr>
      <w:r w:rsidDel="00000000" w:rsidR="00000000" w:rsidRPr="00000000">
        <w:rPr>
          <w:color w:val="222222"/>
          <w:rtl w:val="0"/>
        </w:rPr>
        <w:t xml:space="preserve">Thanks again</w:t>
      </w:r>
    </w:p>
    <w:p w:rsidR="00000000" w:rsidDel="00000000" w:rsidP="00000000" w:rsidRDefault="00000000" w:rsidRPr="00000000" w14:paraId="00000004">
      <w:pPr>
        <w:shd w:fill="ffffff" w:val="clear"/>
        <w:spacing w:after="200" w:before="200" w:lineRule="auto"/>
        <w:rPr>
          <w:color w:val="222222"/>
        </w:rPr>
      </w:pPr>
      <w:r w:rsidDel="00000000" w:rsidR="00000000" w:rsidRPr="00000000">
        <w:rPr>
          <w:color w:val="222222"/>
          <w:rtl w:val="0"/>
        </w:rPr>
        <w:t xml:space="preserve">Ally Fogg</w:t>
      </w:r>
    </w:p>
    <w:p w:rsidR="00000000" w:rsidDel="00000000" w:rsidP="00000000" w:rsidRDefault="00000000" w:rsidRPr="00000000" w14:paraId="00000005">
      <w:pPr>
        <w:shd w:fill="ffffff" w:val="clear"/>
        <w:spacing w:after="200" w:before="200" w:lineRule="auto"/>
        <w:rPr>
          <w:color w:val="222222"/>
        </w:rPr>
      </w:pPr>
      <w:r w:rsidDel="00000000" w:rsidR="00000000" w:rsidRPr="00000000">
        <w:rPr>
          <w:color w:val="222222"/>
          <w:rtl w:val="0"/>
        </w:rPr>
        <w:br w:type="textWrapping"/>
        <w:t xml:space="preserve"> (Sample letter follows)</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_________________________________</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MODEL LETTER TO MP</w:t>
      </w:r>
    </w:p>
    <w:p w:rsidR="00000000" w:rsidDel="00000000" w:rsidP="00000000" w:rsidRDefault="00000000" w:rsidRPr="00000000" w14:paraId="00000009">
      <w:pPr>
        <w:shd w:fill="ffffff" w:val="clear"/>
        <w:ind w:left="600" w:right="600" w:firstLine="0"/>
        <w:rPr>
          <w:i w:val="1"/>
          <w:color w:val="222222"/>
        </w:rPr>
      </w:pPr>
      <w:r w:rsidDel="00000000" w:rsidR="00000000" w:rsidRPr="00000000">
        <w:rPr>
          <w:i w:val="1"/>
          <w:color w:val="222222"/>
          <w:rtl w:val="0"/>
        </w:rPr>
        <w:t xml:space="preserve">[We recommend writing through </w:t>
      </w:r>
      <w:hyperlink r:id="rId6">
        <w:r w:rsidDel="00000000" w:rsidR="00000000" w:rsidRPr="00000000">
          <w:rPr>
            <w:i w:val="1"/>
            <w:color w:val="1155cc"/>
            <w:u w:val="single"/>
            <w:rtl w:val="0"/>
          </w:rPr>
          <w:t xml:space="preserve">www.writetothem.com</w:t>
        </w:r>
      </w:hyperlink>
      <w:r w:rsidDel="00000000" w:rsidR="00000000" w:rsidRPr="00000000">
        <w:rPr>
          <w:i w:val="1"/>
          <w:color w:val="222222"/>
          <w:rtl w:val="0"/>
        </w:rPr>
        <w:t xml:space="preserve">, which will automoatically add your name address etc  </w:t>
        <w:br w:type="textWrapping"/>
        <w:br w:type="textWrapping"/>
        <w:t xml:space="preserve">Letter ‘furniture’ must include your full name, address and telephone number. Only write to your own MP, or if you’re an organisation, MP(s) that cover your catchment area.</w:t>
      </w:r>
    </w:p>
    <w:p w:rsidR="00000000" w:rsidDel="00000000" w:rsidP="00000000" w:rsidRDefault="00000000" w:rsidRPr="00000000" w14:paraId="0000000A">
      <w:pPr>
        <w:shd w:fill="ffffff" w:val="clear"/>
        <w:ind w:left="600" w:right="600" w:firstLine="0"/>
        <w:rPr>
          <w:i w:val="1"/>
          <w:color w:val="222222"/>
        </w:rPr>
      </w:pPr>
      <w:r w:rsidDel="00000000" w:rsidR="00000000" w:rsidRPr="00000000">
        <w:rPr>
          <w:i w:val="1"/>
          <w:color w:val="222222"/>
          <w:rtl w:val="0"/>
        </w:rPr>
        <w:t xml:space="preserve">Begin with a few brief lines about yourself to explain your interest or involvement with this issue, and then something like…]</w:t>
      </w:r>
    </w:p>
    <w:p w:rsidR="00000000" w:rsidDel="00000000" w:rsidP="00000000" w:rsidRDefault="00000000" w:rsidRPr="00000000" w14:paraId="0000000B">
      <w:pPr>
        <w:shd w:fill="ffffff" w:val="clear"/>
        <w:ind w:left="600" w:right="600" w:firstLine="0"/>
        <w:rPr>
          <w:i w:val="1"/>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On Friday May 16</w:t>
      </w:r>
      <w:r w:rsidDel="00000000" w:rsidR="00000000" w:rsidRPr="00000000">
        <w:rPr>
          <w:color w:val="222222"/>
          <w:vertAlign w:val="superscript"/>
          <w:rtl w:val="0"/>
        </w:rPr>
        <w:t xml:space="preserve">th</w:t>
      </w:r>
      <w:r w:rsidDel="00000000" w:rsidR="00000000" w:rsidRPr="00000000">
        <w:rPr>
          <w:color w:val="222222"/>
          <w:rtl w:val="0"/>
        </w:rPr>
        <w:t xml:space="preserve"> Mr Ben Obese-Jecty will present to the House of Commons the second reading of his motion calling upon the Safeguarding Minister to introduce a dedicated cross-governmental strategy to support male victims of interpersonal abuse.</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At present, the government categorises male victims of crimes such as rape and sexual abuse, domestic violence, stalking, digital image abuse, forced marriage and so-called ‘honour’-based abuse as victims of ‘Violence Against Women and Girls’ – a term which is used inaccurately to describe all victims of crimes which disproportionately affect women and girls.  According to CPS prosecution figures, slightly more than 1 in 6 of all victims of so-called ‘Violence Against Women and Girls’ are in fact male.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Academic research has shown that this approach creates barriers to help-seeking for male victims and can be harmful to the mental health, wellbeing and recovery of male survivors. It causes immense confusion among commissioning bodies and statutory services, as well as undermining and complicating the desperately important work still to be done in combating the horrific scale of male violence against female victims.</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For these reasons and many others, the campaign to remove male victims from the national tackling VAWG strategy and to address their needs through a separate but proportionate and complementary strategic approach has been strongly supported by every major organisation supporting male survivors in the UK along with many allies in the women’s sector including Rape Crisis and Respect UK, along with the national Victims Commissioner Baroness Newlove and her predecessor Vera Baird KC.</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For more information, the Men and Boys Coalition charity have prepared a fully sourced and referenced briefing note for Parliamentarians, which can be downloaded from </w:t>
      </w:r>
    </w:p>
    <w:p w:rsidR="00000000" w:rsidDel="00000000" w:rsidP="00000000" w:rsidRDefault="00000000" w:rsidRPr="00000000" w14:paraId="00000015">
      <w:pPr>
        <w:shd w:fill="ffffff" w:val="clear"/>
        <w:rPr>
          <w:color w:val="222222"/>
        </w:rPr>
      </w:pPr>
      <w:hyperlink r:id="rId7">
        <w:r w:rsidDel="00000000" w:rsidR="00000000" w:rsidRPr="00000000">
          <w:rPr>
            <w:color w:val="1155cc"/>
            <w:u w:val="single"/>
            <w:rtl w:val="0"/>
          </w:rPr>
          <w:t xml:space="preserve">https://www.menandboyscoalition.org.uk/wp-content/uploads/2020/11/IVAMB-Briefing-Final-Oct2020-.pdf</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6">
      <w:pPr>
        <w:shd w:fill="ffffff" w:val="clear"/>
        <w:rPr>
          <w:color w:val="1155cc"/>
          <w:u w:val="single"/>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I would urge you to attend the 2</w:t>
      </w:r>
      <w:r w:rsidDel="00000000" w:rsidR="00000000" w:rsidRPr="00000000">
        <w:rPr>
          <w:color w:val="222222"/>
          <w:vertAlign w:val="superscript"/>
          <w:rtl w:val="0"/>
        </w:rPr>
        <w:t xml:space="preserve">nd</w:t>
      </w:r>
      <w:r w:rsidDel="00000000" w:rsidR="00000000" w:rsidRPr="00000000">
        <w:rPr>
          <w:color w:val="222222"/>
          <w:rtl w:val="0"/>
        </w:rPr>
        <w:t xml:space="preserve"> Reading of Mr Obese-Jecty’s Motion on May 16</w:t>
      </w:r>
      <w:r w:rsidDel="00000000" w:rsidR="00000000" w:rsidRPr="00000000">
        <w:rPr>
          <w:color w:val="222222"/>
          <w:vertAlign w:val="superscript"/>
          <w:rtl w:val="0"/>
        </w:rPr>
        <w:t xml:space="preserve">th</w:t>
      </w:r>
      <w:r w:rsidDel="00000000" w:rsidR="00000000" w:rsidRPr="00000000">
        <w:rPr>
          <w:color w:val="222222"/>
          <w:rtl w:val="0"/>
        </w:rPr>
        <w:t xml:space="preserve"> and support it in every way you can. If you do not see fit to support this motion, I’d be very grateful if you could write back to explain to me your reasoning.    </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[Yours etc....]</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ritetothem.com/" TargetMode="External"/><Relationship Id="rId7" Type="http://schemas.openxmlformats.org/officeDocument/2006/relationships/hyperlink" Target="https://www.menandboyscoalition.org.uk/wp-content/uploads/2020/11/IVAMB-Briefing-Final-Oc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